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DEFD" w14:textId="77777777" w:rsidR="009D5A61" w:rsidRDefault="009D5A61">
      <w:pPr>
        <w:pStyle w:val="berschrift1"/>
        <w:tabs>
          <w:tab w:val="clear" w:pos="2835"/>
          <w:tab w:val="clear" w:pos="6946"/>
          <w:tab w:val="left" w:pos="2694"/>
          <w:tab w:val="left" w:pos="6663"/>
        </w:tabs>
        <w:spacing w:line="260" w:lineRule="atLeast"/>
        <w:ind w:right="-143"/>
        <w:rPr>
          <w:rFonts w:ascii="Verdana" w:hAnsi="Verdana"/>
          <w:lang w:val="fr-FR"/>
        </w:rPr>
      </w:pPr>
      <w:r>
        <w:rPr>
          <w:rFonts w:ascii="Verdana" w:hAnsi="Verdana"/>
          <w:noProof/>
          <w:sz w:val="22"/>
          <w:szCs w:val="22"/>
          <w:lang w:val="fr-FR"/>
        </w:rPr>
        <w:t>ARF</w:t>
      </w:r>
      <w:r>
        <w:rPr>
          <w:rFonts w:ascii="Verdana" w:hAnsi="Verdana"/>
          <w:sz w:val="22"/>
          <w:szCs w:val="22"/>
          <w:lang w:val="fr-FR"/>
        </w:rPr>
        <w:tab/>
      </w:r>
      <w:r>
        <w:rPr>
          <w:rFonts w:ascii="Verdana" w:hAnsi="Verdana"/>
          <w:noProof/>
          <w:sz w:val="22"/>
          <w:szCs w:val="22"/>
          <w:lang w:val="fr-FR"/>
        </w:rPr>
        <w:t>SUISSIMAGE</w:t>
      </w:r>
      <w:r>
        <w:rPr>
          <w:rFonts w:ascii="Verdana" w:hAnsi="Verdana"/>
          <w:sz w:val="22"/>
          <w:szCs w:val="22"/>
          <w:lang w:val="fr-FR"/>
        </w:rPr>
        <w:tab/>
      </w:r>
      <w:r>
        <w:rPr>
          <w:rFonts w:ascii="Verdana" w:hAnsi="Verdana"/>
          <w:noProof/>
          <w:sz w:val="22"/>
          <w:szCs w:val="22"/>
          <w:lang w:val="fr-FR"/>
        </w:rPr>
        <w:t>SFP</w:t>
      </w:r>
      <w:r>
        <w:rPr>
          <w:rFonts w:ascii="Verdana" w:hAnsi="Verdana"/>
          <w:sz w:val="22"/>
          <w:szCs w:val="22"/>
          <w:lang w:val="fr-FR"/>
        </w:rPr>
        <w:tab/>
      </w:r>
      <w:r>
        <w:rPr>
          <w:rFonts w:ascii="Verdana" w:hAnsi="Verdana"/>
          <w:sz w:val="22"/>
          <w:szCs w:val="22"/>
          <w:lang w:val="fr-FR"/>
        </w:rPr>
        <w:tab/>
      </w:r>
    </w:p>
    <w:p w14:paraId="74D468D9" w14:textId="77777777" w:rsidR="009D5A61" w:rsidRDefault="009D5A61">
      <w:pPr>
        <w:pStyle w:val="Kopfzeile"/>
        <w:tabs>
          <w:tab w:val="clear" w:pos="4536"/>
          <w:tab w:val="clear" w:pos="9072"/>
          <w:tab w:val="left" w:pos="2694"/>
          <w:tab w:val="left" w:pos="6663"/>
        </w:tabs>
        <w:rPr>
          <w:rFonts w:ascii="Verdana" w:hAnsi="Verdana"/>
          <w:lang w:val="it-CH"/>
        </w:rPr>
      </w:pPr>
      <w:r>
        <w:rPr>
          <w:rFonts w:ascii="Verdana" w:hAnsi="Verdana"/>
          <w:noProof/>
          <w:sz w:val="16"/>
          <w:szCs w:val="16"/>
          <w:lang w:val="it-CH"/>
        </w:rPr>
        <w:t>Associazione svizzera regia</w:t>
      </w:r>
      <w:r>
        <w:rPr>
          <w:rFonts w:ascii="Verdana" w:hAnsi="Verdana"/>
          <w:sz w:val="16"/>
          <w:szCs w:val="16"/>
          <w:lang w:val="it-CH"/>
        </w:rPr>
        <w:tab/>
      </w:r>
      <w:r w:rsidR="00F33A77">
        <w:rPr>
          <w:rFonts w:ascii="Verdana" w:hAnsi="Verdana"/>
          <w:noProof/>
          <w:sz w:val="16"/>
          <w:szCs w:val="16"/>
          <w:lang w:val="it-CH"/>
        </w:rPr>
        <w:t>Cooperativa</w:t>
      </w:r>
      <w:r>
        <w:rPr>
          <w:rFonts w:ascii="Verdana" w:hAnsi="Verdana"/>
          <w:noProof/>
          <w:sz w:val="16"/>
          <w:szCs w:val="16"/>
          <w:lang w:val="it-CH"/>
        </w:rPr>
        <w:t xml:space="preserve"> svizzera per i</w:t>
      </w:r>
      <w:r>
        <w:rPr>
          <w:rFonts w:ascii="Verdana" w:hAnsi="Verdana"/>
          <w:sz w:val="16"/>
          <w:szCs w:val="16"/>
          <w:lang w:val="it-CH"/>
        </w:rPr>
        <w:t xml:space="preserve"> </w:t>
      </w:r>
      <w:r w:rsidR="00F33A77">
        <w:rPr>
          <w:rFonts w:ascii="Verdana" w:hAnsi="Verdana"/>
          <w:sz w:val="16"/>
          <w:szCs w:val="16"/>
          <w:lang w:val="it-CH"/>
        </w:rPr>
        <w:t>diritti</w:t>
      </w:r>
      <w:r>
        <w:rPr>
          <w:rFonts w:ascii="Verdana" w:hAnsi="Verdana"/>
          <w:sz w:val="16"/>
          <w:szCs w:val="16"/>
          <w:lang w:val="it-CH"/>
        </w:rPr>
        <w:tab/>
      </w:r>
      <w:r>
        <w:rPr>
          <w:rFonts w:ascii="Verdana" w:hAnsi="Verdana"/>
          <w:noProof/>
          <w:sz w:val="16"/>
          <w:szCs w:val="16"/>
          <w:lang w:val="it-CH"/>
        </w:rPr>
        <w:t>Associazione svizzera</w:t>
      </w:r>
      <w:r>
        <w:rPr>
          <w:rFonts w:ascii="Verdana" w:hAnsi="Verdana"/>
          <w:sz w:val="16"/>
          <w:szCs w:val="16"/>
          <w:lang w:val="it-CH"/>
        </w:rPr>
        <w:t xml:space="preserve"> </w:t>
      </w:r>
      <w:r>
        <w:rPr>
          <w:rFonts w:ascii="Verdana" w:hAnsi="Verdana"/>
          <w:sz w:val="16"/>
          <w:szCs w:val="16"/>
          <w:lang w:val="it-CH"/>
        </w:rPr>
        <w:tab/>
        <w:t xml:space="preserve"> </w:t>
      </w:r>
    </w:p>
    <w:p w14:paraId="13C73DFA" w14:textId="77777777" w:rsidR="009D5A61" w:rsidRDefault="009D5A61">
      <w:pPr>
        <w:pStyle w:val="Kopfzeile"/>
        <w:tabs>
          <w:tab w:val="clear" w:pos="4536"/>
          <w:tab w:val="clear" w:pos="9072"/>
          <w:tab w:val="left" w:pos="2694"/>
          <w:tab w:val="left" w:pos="6663"/>
        </w:tabs>
        <w:ind w:right="-143"/>
        <w:rPr>
          <w:rFonts w:ascii="Verdana" w:hAnsi="Verdana"/>
          <w:lang w:val="it-CH"/>
        </w:rPr>
      </w:pPr>
      <w:r>
        <w:rPr>
          <w:rFonts w:ascii="Verdana" w:hAnsi="Verdana"/>
          <w:noProof/>
          <w:sz w:val="16"/>
          <w:szCs w:val="16"/>
          <w:lang w:val="it-CH"/>
        </w:rPr>
        <w:t>e sceneggiatura film</w:t>
      </w:r>
      <w:r>
        <w:rPr>
          <w:rFonts w:ascii="Verdana" w:hAnsi="Verdana"/>
          <w:sz w:val="16"/>
          <w:szCs w:val="16"/>
          <w:lang w:val="it-CH"/>
        </w:rPr>
        <w:tab/>
      </w:r>
      <w:r>
        <w:rPr>
          <w:rFonts w:ascii="Verdana" w:hAnsi="Verdana"/>
          <w:noProof/>
          <w:sz w:val="16"/>
          <w:szCs w:val="16"/>
          <w:lang w:val="it-CH"/>
        </w:rPr>
        <w:t>d’autore di opere audiovisive</w:t>
      </w:r>
      <w:r>
        <w:rPr>
          <w:rFonts w:ascii="Verdana" w:hAnsi="Verdana"/>
          <w:sz w:val="16"/>
          <w:szCs w:val="16"/>
          <w:lang w:val="it-CH"/>
        </w:rPr>
        <w:tab/>
      </w:r>
      <w:r>
        <w:rPr>
          <w:rFonts w:ascii="Verdana" w:hAnsi="Verdana"/>
          <w:noProof/>
          <w:sz w:val="16"/>
          <w:szCs w:val="16"/>
          <w:lang w:val="it-CH"/>
        </w:rPr>
        <w:t>dei produttori di film</w:t>
      </w:r>
      <w:r>
        <w:rPr>
          <w:rFonts w:ascii="Verdana" w:hAnsi="Verdana"/>
          <w:sz w:val="16"/>
          <w:szCs w:val="16"/>
          <w:lang w:val="it-CH"/>
        </w:rPr>
        <w:tab/>
      </w:r>
    </w:p>
    <w:p w14:paraId="5DA15E16" w14:textId="77777777" w:rsidR="009D5A61" w:rsidRDefault="009D5A61">
      <w:pPr>
        <w:spacing w:line="260" w:lineRule="atLeast"/>
        <w:rPr>
          <w:rFonts w:ascii="Verdana" w:hAnsi="Verdana"/>
          <w:sz w:val="18"/>
          <w:szCs w:val="18"/>
          <w:lang w:val="it-CH"/>
        </w:rPr>
      </w:pPr>
    </w:p>
    <w:p w14:paraId="12A349A9" w14:textId="77777777" w:rsidR="009D5A61" w:rsidRDefault="009D5A61">
      <w:pPr>
        <w:pStyle w:val="berschrift2"/>
        <w:rPr>
          <w:lang w:val="it-CH"/>
        </w:rPr>
      </w:pPr>
      <w:r>
        <w:rPr>
          <w:noProof/>
          <w:lang w:val="it-CH"/>
        </w:rPr>
        <w:t>GARP</w:t>
      </w:r>
    </w:p>
    <w:p w14:paraId="1D4D9FCE" w14:textId="77777777" w:rsidR="009D5A61" w:rsidRDefault="009D5A61">
      <w:pPr>
        <w:rPr>
          <w:rFonts w:ascii="Verdana" w:hAnsi="Verdana"/>
          <w:sz w:val="18"/>
          <w:szCs w:val="18"/>
          <w:lang w:val="it-CH"/>
        </w:rPr>
      </w:pPr>
      <w:r>
        <w:rPr>
          <w:rFonts w:ascii="Verdana" w:hAnsi="Verdana"/>
          <w:noProof/>
          <w:sz w:val="16"/>
          <w:szCs w:val="16"/>
          <w:lang w:val="it-CH"/>
        </w:rPr>
        <w:t>Gruppo autori,</w:t>
      </w:r>
    </w:p>
    <w:p w14:paraId="45F85948" w14:textId="77777777" w:rsidR="009D5A61" w:rsidRDefault="009D5A61">
      <w:pPr>
        <w:rPr>
          <w:rFonts w:ascii="Verdana" w:hAnsi="Verdana"/>
          <w:sz w:val="16"/>
          <w:szCs w:val="16"/>
          <w:lang w:val="it-CH"/>
        </w:rPr>
      </w:pPr>
      <w:r>
        <w:rPr>
          <w:rFonts w:ascii="Verdana" w:hAnsi="Verdana"/>
          <w:noProof/>
          <w:sz w:val="16"/>
          <w:szCs w:val="16"/>
          <w:lang w:val="it-CH"/>
        </w:rPr>
        <w:t>registi, produttori</w:t>
      </w:r>
    </w:p>
    <w:p w14:paraId="638608E1" w14:textId="77777777" w:rsidR="009D5A61" w:rsidRDefault="009D5A61">
      <w:pPr>
        <w:rPr>
          <w:rFonts w:ascii="Verdana" w:hAnsi="Verdana"/>
          <w:sz w:val="18"/>
          <w:szCs w:val="18"/>
          <w:lang w:val="it-CH"/>
        </w:rPr>
      </w:pPr>
    </w:p>
    <w:p w14:paraId="280F84E5" w14:textId="77777777" w:rsidR="009D5A61" w:rsidRDefault="009D5A61">
      <w:pPr>
        <w:rPr>
          <w:rFonts w:ascii="Verdana" w:hAnsi="Verdana"/>
          <w:sz w:val="18"/>
          <w:szCs w:val="18"/>
          <w:lang w:val="it-CH"/>
        </w:rPr>
      </w:pPr>
    </w:p>
    <w:p w14:paraId="766A00E8" w14:textId="77777777" w:rsidR="009D5A61" w:rsidRDefault="009D5A61">
      <w:pPr>
        <w:rPr>
          <w:rFonts w:ascii="Verdana" w:hAnsi="Verdana"/>
          <w:sz w:val="18"/>
          <w:szCs w:val="18"/>
          <w:lang w:val="it-CH"/>
        </w:rPr>
      </w:pPr>
    </w:p>
    <w:p w14:paraId="5BB1BB91" w14:textId="77777777" w:rsidR="009D5A61" w:rsidRDefault="009D5A61">
      <w:pPr>
        <w:rPr>
          <w:rFonts w:ascii="Verdana" w:hAnsi="Verdana"/>
          <w:sz w:val="18"/>
          <w:szCs w:val="18"/>
          <w:lang w:val="it-CH"/>
        </w:rPr>
      </w:pPr>
    </w:p>
    <w:p w14:paraId="4C758A1C" w14:textId="77777777" w:rsidR="009D5A61" w:rsidRDefault="009D5A61">
      <w:pPr>
        <w:spacing w:line="260" w:lineRule="atLeast"/>
        <w:rPr>
          <w:rFonts w:ascii="Verdana" w:hAnsi="Verdana"/>
          <w:b/>
          <w:bCs/>
          <w:sz w:val="24"/>
          <w:szCs w:val="24"/>
          <w:lang w:val="it-CH"/>
        </w:rPr>
      </w:pPr>
      <w:r>
        <w:rPr>
          <w:rFonts w:ascii="Verdana" w:hAnsi="Verdana"/>
          <w:b/>
          <w:bCs/>
          <w:sz w:val="24"/>
          <w:szCs w:val="24"/>
          <w:lang w:val="it-CH"/>
        </w:rPr>
        <w:t>Contratto tipo “Co-autore”</w:t>
      </w:r>
      <w:r>
        <w:rPr>
          <w:rFonts w:ascii="Verdana" w:hAnsi="Verdana"/>
          <w:sz w:val="24"/>
          <w:szCs w:val="24"/>
          <w:lang w:val="it-CH"/>
        </w:rPr>
        <w:t xml:space="preserve"> </w:t>
      </w:r>
    </w:p>
    <w:p w14:paraId="5440253E" w14:textId="77777777" w:rsidR="009D5A61" w:rsidRDefault="009D5A61">
      <w:pPr>
        <w:spacing w:line="260" w:lineRule="atLeast"/>
        <w:rPr>
          <w:rFonts w:ascii="Verdana" w:hAnsi="Verdana"/>
          <w:sz w:val="18"/>
          <w:szCs w:val="18"/>
          <w:lang w:val="it-CH"/>
        </w:rPr>
      </w:pPr>
    </w:p>
    <w:p w14:paraId="3BE1A9E5" w14:textId="77777777" w:rsidR="009D5A61" w:rsidRDefault="009D5A61">
      <w:pPr>
        <w:spacing w:line="260" w:lineRule="atLeast"/>
        <w:rPr>
          <w:rFonts w:ascii="Verdana" w:hAnsi="Verdana"/>
          <w:sz w:val="18"/>
          <w:szCs w:val="18"/>
          <w:lang w:val="it-CH"/>
        </w:rPr>
      </w:pPr>
    </w:p>
    <w:p w14:paraId="5B3F7F05" w14:textId="77777777" w:rsidR="009D5A61" w:rsidRDefault="009D5A61">
      <w:pPr>
        <w:spacing w:line="260" w:lineRule="atLeast"/>
        <w:rPr>
          <w:rFonts w:ascii="Verdana" w:hAnsi="Verdana"/>
          <w:sz w:val="18"/>
          <w:szCs w:val="18"/>
          <w:lang w:val="it-CH"/>
        </w:rPr>
      </w:pPr>
    </w:p>
    <w:p w14:paraId="2DF8D1F0" w14:textId="77777777" w:rsidR="009D5A61" w:rsidRDefault="009D5A61">
      <w:pPr>
        <w:pStyle w:val="berschrift3"/>
        <w:rPr>
          <w:sz w:val="24"/>
          <w:szCs w:val="24"/>
          <w:lang w:val="it-CH"/>
        </w:rPr>
      </w:pPr>
      <w:r>
        <w:rPr>
          <w:sz w:val="24"/>
          <w:szCs w:val="24"/>
          <w:lang w:val="it-CH"/>
        </w:rPr>
        <w:t xml:space="preserve">N o t e  d i  c o m </w:t>
      </w:r>
      <w:proofErr w:type="spellStart"/>
      <w:r>
        <w:rPr>
          <w:sz w:val="24"/>
          <w:szCs w:val="24"/>
          <w:lang w:val="it-CH"/>
        </w:rPr>
        <w:t>m</w:t>
      </w:r>
      <w:proofErr w:type="spellEnd"/>
      <w:r>
        <w:rPr>
          <w:sz w:val="24"/>
          <w:szCs w:val="24"/>
          <w:lang w:val="it-CH"/>
        </w:rPr>
        <w:t xml:space="preserve"> e n t o</w:t>
      </w:r>
    </w:p>
    <w:p w14:paraId="3D9AA5FA" w14:textId="77777777" w:rsidR="009D5A61" w:rsidRDefault="009D5A61">
      <w:pPr>
        <w:spacing w:line="260" w:lineRule="atLeast"/>
        <w:rPr>
          <w:rFonts w:ascii="Verdana" w:hAnsi="Verdana"/>
          <w:sz w:val="18"/>
          <w:szCs w:val="18"/>
          <w:lang w:val="it-CH"/>
        </w:rPr>
      </w:pPr>
    </w:p>
    <w:p w14:paraId="70DE2DBA" w14:textId="77777777" w:rsidR="009D5A61" w:rsidRDefault="009D5A61">
      <w:pPr>
        <w:spacing w:line="260" w:lineRule="atLeast"/>
        <w:rPr>
          <w:rFonts w:ascii="Verdana" w:hAnsi="Verdana"/>
          <w:sz w:val="18"/>
          <w:szCs w:val="18"/>
          <w:lang w:val="it-CH"/>
        </w:rPr>
      </w:pPr>
    </w:p>
    <w:p w14:paraId="168D2478" w14:textId="77777777" w:rsidR="009D5A61" w:rsidRDefault="009D5A61">
      <w:pPr>
        <w:spacing w:line="260" w:lineRule="atLeast"/>
        <w:rPr>
          <w:rFonts w:ascii="Verdana" w:hAnsi="Verdana"/>
          <w:sz w:val="18"/>
          <w:szCs w:val="18"/>
          <w:lang w:val="it-CH"/>
        </w:rPr>
      </w:pPr>
    </w:p>
    <w:p w14:paraId="3FBCD8A6" w14:textId="77777777" w:rsidR="009D5A61" w:rsidRDefault="009D5A61">
      <w:pPr>
        <w:pStyle w:val="berschrift4"/>
        <w:rPr>
          <w:lang w:val="it-CH"/>
        </w:rPr>
      </w:pPr>
      <w:r>
        <w:rPr>
          <w:lang w:val="it-CH"/>
        </w:rPr>
        <w:t>Premessa</w:t>
      </w:r>
    </w:p>
    <w:p w14:paraId="4AD035F7" w14:textId="77777777" w:rsidR="009D5A61" w:rsidRDefault="009D5A61">
      <w:pPr>
        <w:spacing w:line="260" w:lineRule="atLeast"/>
        <w:rPr>
          <w:rFonts w:ascii="Verdana" w:hAnsi="Verdana"/>
          <w:i/>
          <w:iCs/>
          <w:sz w:val="18"/>
          <w:szCs w:val="18"/>
          <w:lang w:val="it-CH"/>
        </w:rPr>
      </w:pPr>
    </w:p>
    <w:p w14:paraId="30B32085" w14:textId="77777777" w:rsidR="009D5A61" w:rsidRDefault="009D5A61">
      <w:pPr>
        <w:spacing w:line="260" w:lineRule="atLeast"/>
        <w:rPr>
          <w:rFonts w:ascii="Verdana" w:hAnsi="Verdana"/>
          <w:lang w:val="it-CH"/>
        </w:rPr>
      </w:pPr>
      <w:r>
        <w:rPr>
          <w:rFonts w:ascii="Verdana" w:hAnsi="Verdana"/>
          <w:i/>
          <w:iCs/>
          <w:sz w:val="18"/>
          <w:szCs w:val="18"/>
          <w:lang w:val="it-CH"/>
        </w:rPr>
        <w:t>Il presente contratto tipo per il coinvolgimento di un co-autore allo scopo di sviluppare ulteriormente una sceneggiatura o un treatment è pensato per il caso in cui un autore/autrice abbia già scritto qualcosa che deve essere ulteriormente sviluppato da un altro autore/autrice. Il produttore, l’attuale autore/autrice e il nuovo autore/autrice stipulano un nuovo contratto; il precedente contratto stipulato fra produttore e sceneggiatore/sceneggiatrice continua a sussistere ma è integrato dal presente contratto.</w:t>
      </w:r>
    </w:p>
    <w:p w14:paraId="62F35559" w14:textId="77777777" w:rsidR="009D5A61" w:rsidRDefault="009D5A61">
      <w:pPr>
        <w:spacing w:line="260" w:lineRule="atLeast"/>
        <w:rPr>
          <w:rFonts w:ascii="Verdana" w:hAnsi="Verdana"/>
          <w:i/>
          <w:iCs/>
          <w:sz w:val="18"/>
          <w:szCs w:val="18"/>
          <w:lang w:val="it-CH"/>
        </w:rPr>
      </w:pPr>
    </w:p>
    <w:p w14:paraId="2C1E18AA" w14:textId="77777777" w:rsidR="009D5A61" w:rsidRDefault="009D5A61">
      <w:pPr>
        <w:pStyle w:val="Textkrper"/>
        <w:jc w:val="left"/>
        <w:rPr>
          <w:lang w:val="it-CH"/>
        </w:rPr>
      </w:pPr>
      <w:r>
        <w:rPr>
          <w:lang w:val="it-CH"/>
        </w:rPr>
        <w:t>Se si sa a priori che due autori/autrici dovranno scrivere assieme una sceneggiatura, il produttore concluderà sin dall’inizio con ogni autore/autrice un contratto per sceneggiatori e sceneggiatrici (oppure un unico contratto che verrà sottoscritto da entrambi gli autori/autrici).</w:t>
      </w:r>
    </w:p>
    <w:p w14:paraId="19A509BA" w14:textId="77777777" w:rsidR="009D5A61" w:rsidRDefault="009D5A61">
      <w:pPr>
        <w:spacing w:line="260" w:lineRule="atLeast"/>
        <w:rPr>
          <w:rFonts w:ascii="Verdana" w:hAnsi="Verdana"/>
          <w:i/>
          <w:iCs/>
          <w:sz w:val="18"/>
          <w:szCs w:val="18"/>
          <w:lang w:val="it-CH"/>
        </w:rPr>
      </w:pPr>
    </w:p>
    <w:p w14:paraId="6B72E17C" w14:textId="77777777" w:rsidR="009D5A61" w:rsidRDefault="009D5A61">
      <w:pPr>
        <w:spacing w:line="260" w:lineRule="atLeast"/>
        <w:rPr>
          <w:rFonts w:ascii="Verdana" w:hAnsi="Verdana"/>
          <w:i/>
          <w:iCs/>
          <w:sz w:val="18"/>
          <w:szCs w:val="18"/>
          <w:lang w:val="it-CH"/>
        </w:rPr>
      </w:pPr>
      <w:r>
        <w:rPr>
          <w:rFonts w:ascii="Verdana" w:hAnsi="Verdana"/>
          <w:i/>
          <w:iCs/>
          <w:sz w:val="18"/>
          <w:szCs w:val="18"/>
          <w:lang w:val="it-CH"/>
        </w:rPr>
        <w:t>Il presente contratto tipo “co-autore” si basa sostanzialmente sul contratto tipo per sceneggiatori e sceneggiatrici, tiene però conto del fatto che esista già una versione della sceneggiatura o del treatment, che è stata scritta da un autore/autrice e che ora deve essere rimaneggiata da un altro autore/autrice.</w:t>
      </w:r>
    </w:p>
    <w:p w14:paraId="314145BD" w14:textId="77777777" w:rsidR="009D5A61" w:rsidRDefault="009D5A61">
      <w:pPr>
        <w:spacing w:line="260" w:lineRule="atLeast"/>
        <w:rPr>
          <w:rFonts w:ascii="Verdana" w:hAnsi="Verdana"/>
          <w:i/>
          <w:iCs/>
          <w:sz w:val="18"/>
          <w:szCs w:val="18"/>
          <w:lang w:val="it-CH"/>
        </w:rPr>
      </w:pPr>
    </w:p>
    <w:p w14:paraId="301D2885" w14:textId="77777777" w:rsidR="009D5A61" w:rsidRDefault="009D5A61">
      <w:pPr>
        <w:spacing w:line="260" w:lineRule="atLeast"/>
        <w:rPr>
          <w:rFonts w:ascii="Verdana" w:hAnsi="Verdana"/>
          <w:i/>
          <w:iCs/>
          <w:sz w:val="18"/>
          <w:szCs w:val="18"/>
          <w:lang w:val="it-CH"/>
        </w:rPr>
      </w:pPr>
    </w:p>
    <w:p w14:paraId="69A84D62" w14:textId="77777777" w:rsidR="009D5A61" w:rsidRDefault="009D5A61">
      <w:pPr>
        <w:spacing w:line="260" w:lineRule="atLeast"/>
        <w:rPr>
          <w:rFonts w:ascii="Verdana" w:hAnsi="Verdana"/>
          <w:lang w:val="it-CH"/>
        </w:rPr>
      </w:pPr>
      <w:r>
        <w:rPr>
          <w:rFonts w:ascii="Verdana" w:hAnsi="Verdana"/>
          <w:i/>
          <w:iCs/>
          <w:sz w:val="18"/>
          <w:szCs w:val="18"/>
          <w:lang w:val="it-CH"/>
        </w:rPr>
        <w:t>All’inizio del contratto andrà indicato chiaramente il nome e l’indirizzo delle parti contraenti. Inoltre si dovrà indicare la data del contratto di sceneggiatura fra il produttore e l’attuale unico autore/autrice; il presente contratto non annulla il contratto di sceneggiatura, bensì ne diviene parte integrante.</w:t>
      </w:r>
    </w:p>
    <w:p w14:paraId="78AD84FC" w14:textId="77777777" w:rsidR="009D5A61" w:rsidRDefault="009D5A61">
      <w:pPr>
        <w:spacing w:line="260" w:lineRule="atLeast"/>
        <w:jc w:val="both"/>
        <w:rPr>
          <w:rFonts w:ascii="Verdana" w:hAnsi="Verdana"/>
          <w:i/>
          <w:iCs/>
          <w:sz w:val="18"/>
          <w:szCs w:val="18"/>
          <w:lang w:val="it-CH"/>
        </w:rPr>
      </w:pPr>
    </w:p>
    <w:p w14:paraId="33D3B654" w14:textId="77777777" w:rsidR="009D5A61" w:rsidRDefault="009D5A61">
      <w:pPr>
        <w:spacing w:line="260" w:lineRule="atLeast"/>
        <w:jc w:val="both"/>
        <w:rPr>
          <w:rFonts w:ascii="Verdana" w:hAnsi="Verdana"/>
          <w:i/>
          <w:iCs/>
          <w:sz w:val="18"/>
          <w:szCs w:val="18"/>
          <w:lang w:val="it-CH"/>
        </w:rPr>
      </w:pPr>
    </w:p>
    <w:p w14:paraId="5C0674E1" w14:textId="77777777" w:rsidR="009D5A61" w:rsidRDefault="009D5A61">
      <w:pPr>
        <w:spacing w:line="260" w:lineRule="atLeast"/>
        <w:jc w:val="both"/>
        <w:rPr>
          <w:rFonts w:ascii="Verdana" w:hAnsi="Verdana"/>
          <w:sz w:val="18"/>
          <w:szCs w:val="18"/>
          <w:lang w:val="it-CH"/>
        </w:rPr>
      </w:pPr>
    </w:p>
    <w:p w14:paraId="7EBEB6B3" w14:textId="77777777" w:rsidR="009D5A61" w:rsidRDefault="009D5A61">
      <w:pPr>
        <w:tabs>
          <w:tab w:val="left" w:pos="426"/>
        </w:tabs>
        <w:spacing w:line="260" w:lineRule="atLeast"/>
        <w:jc w:val="both"/>
        <w:rPr>
          <w:rFonts w:ascii="Verdana" w:hAnsi="Verdana"/>
          <w:b/>
          <w:bCs/>
          <w:sz w:val="18"/>
          <w:szCs w:val="18"/>
          <w:lang w:val="it-CH"/>
        </w:rPr>
      </w:pPr>
      <w:r>
        <w:rPr>
          <w:rFonts w:ascii="Verdana" w:hAnsi="Verdana"/>
          <w:b/>
          <w:bCs/>
          <w:sz w:val="18"/>
          <w:szCs w:val="18"/>
          <w:lang w:val="it-CH"/>
        </w:rPr>
        <w:t>1.</w:t>
      </w:r>
      <w:r>
        <w:rPr>
          <w:rFonts w:ascii="Verdana" w:hAnsi="Verdana"/>
          <w:b/>
          <w:bCs/>
          <w:sz w:val="18"/>
          <w:szCs w:val="18"/>
          <w:lang w:val="it-CH"/>
        </w:rPr>
        <w:tab/>
        <w:t>Oggetto del contratto</w:t>
      </w:r>
    </w:p>
    <w:p w14:paraId="7573DE7F" w14:textId="77777777" w:rsidR="009D5A61" w:rsidRDefault="009D5A61">
      <w:pPr>
        <w:spacing w:line="260" w:lineRule="atLeast"/>
        <w:rPr>
          <w:rFonts w:ascii="Verdana" w:hAnsi="Verdana"/>
          <w:sz w:val="18"/>
          <w:szCs w:val="18"/>
          <w:lang w:val="it-CH"/>
        </w:rPr>
      </w:pPr>
      <w:r>
        <w:rPr>
          <w:rFonts w:ascii="Verdana" w:hAnsi="Verdana"/>
          <w:sz w:val="18"/>
          <w:szCs w:val="18"/>
          <w:lang w:val="it-CH"/>
        </w:rPr>
        <w:t>Qui si stabilisce tutto ciò che deve essere disciplinato nel contratto.</w:t>
      </w:r>
    </w:p>
    <w:p w14:paraId="792B9682" w14:textId="77777777" w:rsidR="009D5A61" w:rsidRDefault="009D5A61">
      <w:pPr>
        <w:spacing w:line="260" w:lineRule="atLeast"/>
        <w:rPr>
          <w:rFonts w:ascii="Verdana" w:hAnsi="Verdana"/>
          <w:sz w:val="18"/>
          <w:szCs w:val="18"/>
          <w:lang w:val="it-CH"/>
        </w:rPr>
      </w:pPr>
    </w:p>
    <w:p w14:paraId="1839FA7B" w14:textId="77777777" w:rsidR="009D5A61" w:rsidRDefault="009D5A61">
      <w:pPr>
        <w:tabs>
          <w:tab w:val="left" w:pos="426"/>
        </w:tabs>
        <w:spacing w:line="260" w:lineRule="atLeast"/>
        <w:rPr>
          <w:rFonts w:ascii="Verdana" w:hAnsi="Verdana"/>
          <w:b/>
          <w:bCs/>
          <w:sz w:val="18"/>
          <w:szCs w:val="18"/>
          <w:lang w:val="it-CH"/>
        </w:rPr>
      </w:pPr>
      <w:r>
        <w:rPr>
          <w:rFonts w:ascii="Verdana" w:hAnsi="Verdana"/>
          <w:b/>
          <w:bCs/>
          <w:sz w:val="18"/>
          <w:szCs w:val="18"/>
          <w:lang w:val="it-CH"/>
        </w:rPr>
        <w:t>2.</w:t>
      </w:r>
      <w:r>
        <w:rPr>
          <w:rFonts w:ascii="Verdana" w:hAnsi="Verdana"/>
          <w:b/>
          <w:bCs/>
          <w:sz w:val="18"/>
          <w:szCs w:val="18"/>
          <w:lang w:val="it-CH"/>
        </w:rPr>
        <w:tab/>
        <w:t>Opera ed elaborazione</w:t>
      </w:r>
    </w:p>
    <w:p w14:paraId="034B00E7" w14:textId="77777777" w:rsidR="009D5A61" w:rsidRDefault="009D5A61">
      <w:pPr>
        <w:pStyle w:val="Textkrper-Zeileneinzug"/>
        <w:rPr>
          <w:sz w:val="24"/>
          <w:szCs w:val="24"/>
          <w:lang w:val="it-CH"/>
        </w:rPr>
      </w:pPr>
      <w:r>
        <w:rPr>
          <w:lang w:val="it-CH"/>
        </w:rPr>
        <w:t>Al punto 2.2 è espressamente sancito che l’autore/autrice 1 e 2 elaboreranno assieme la presente bozza di sceneggiatura e diventeranno così co-autori/co-autrici delle nuove versioni. Al punto 2.3 vanno sancite le condizioni quadro e al punto 2.4 le scadenze.</w:t>
      </w:r>
    </w:p>
    <w:p w14:paraId="6F6E4494" w14:textId="77777777" w:rsidR="009D5A61" w:rsidRPr="004B3B8E" w:rsidRDefault="009D5A61" w:rsidP="004B3B8E">
      <w:pPr>
        <w:spacing w:line="260" w:lineRule="atLeast"/>
        <w:rPr>
          <w:rFonts w:ascii="Verdana" w:hAnsi="Verdana"/>
          <w:sz w:val="18"/>
          <w:szCs w:val="18"/>
          <w:lang w:val="it-CH"/>
        </w:rPr>
      </w:pPr>
      <w:r>
        <w:rPr>
          <w:rFonts w:ascii="Verdana" w:hAnsi="Verdana"/>
          <w:sz w:val="18"/>
          <w:szCs w:val="18"/>
          <w:lang w:val="it-CH"/>
        </w:rPr>
        <w:br w:type="page"/>
      </w:r>
    </w:p>
    <w:p w14:paraId="7449D77A" w14:textId="77777777" w:rsidR="009D5A61" w:rsidRPr="004B3B8E" w:rsidRDefault="009D5A61" w:rsidP="004B3B8E">
      <w:pPr>
        <w:pStyle w:val="Textkrper-Zeileneinzug"/>
        <w:rPr>
          <w:lang w:val="it-CH"/>
        </w:rPr>
      </w:pPr>
      <w:r w:rsidRPr="004B3B8E">
        <w:rPr>
          <w:lang w:val="it-CH"/>
        </w:rPr>
        <w:lastRenderedPageBreak/>
        <w:t>I punti da 2.5 a 2.8 sono ripresi dal contratto tipo per sceneggiatori e sceneggiatrici. Se il produttore rinuncia per iscritto all’utilizzazione dell’opera fornita, lo sceneggiatore/sceneggiatrice della versione originaria è di nuovo libero di continuare a utilizzare tale versione (essendo rimasto in vigore il contratto originario). Entrambi gli autori rispondono al punto 2.8 solo per la loro parte e non in modo solidale.</w:t>
      </w:r>
    </w:p>
    <w:p w14:paraId="4FDC61E0" w14:textId="77777777" w:rsidR="009D5A61" w:rsidRPr="004B3B8E" w:rsidRDefault="009D5A61" w:rsidP="004B3B8E">
      <w:pPr>
        <w:spacing w:line="260" w:lineRule="atLeast"/>
        <w:rPr>
          <w:rFonts w:ascii="Verdana" w:hAnsi="Verdana"/>
          <w:sz w:val="18"/>
          <w:szCs w:val="18"/>
          <w:lang w:val="it-CH"/>
        </w:rPr>
      </w:pPr>
    </w:p>
    <w:p w14:paraId="54A3A045" w14:textId="77777777" w:rsidR="009D5A61" w:rsidRDefault="009D5A61">
      <w:pPr>
        <w:tabs>
          <w:tab w:val="left" w:pos="426"/>
        </w:tabs>
        <w:spacing w:line="260" w:lineRule="atLeast"/>
        <w:rPr>
          <w:rFonts w:ascii="Verdana" w:hAnsi="Verdana"/>
          <w:b/>
          <w:bCs/>
          <w:sz w:val="18"/>
          <w:szCs w:val="18"/>
          <w:lang w:val="it-CH"/>
        </w:rPr>
      </w:pPr>
      <w:r>
        <w:rPr>
          <w:rFonts w:ascii="Verdana" w:hAnsi="Verdana"/>
          <w:b/>
          <w:bCs/>
          <w:sz w:val="18"/>
          <w:szCs w:val="18"/>
          <w:lang w:val="it-CH"/>
        </w:rPr>
        <w:t>3.</w:t>
      </w:r>
      <w:r>
        <w:rPr>
          <w:rFonts w:ascii="Verdana" w:hAnsi="Verdana"/>
          <w:b/>
          <w:bCs/>
          <w:sz w:val="18"/>
          <w:szCs w:val="18"/>
          <w:lang w:val="it-CH"/>
        </w:rPr>
        <w:tab/>
        <w:t>Diritti sull’opera</w:t>
      </w:r>
    </w:p>
    <w:p w14:paraId="2448655D" w14:textId="77777777" w:rsidR="009D5A61" w:rsidRDefault="009D5A61">
      <w:pPr>
        <w:spacing w:line="260" w:lineRule="atLeast"/>
        <w:rPr>
          <w:rFonts w:ascii="Verdana" w:hAnsi="Verdana"/>
          <w:lang w:val="it-CH"/>
        </w:rPr>
      </w:pPr>
      <w:r>
        <w:rPr>
          <w:rFonts w:ascii="Verdana" w:hAnsi="Verdana"/>
          <w:sz w:val="18"/>
          <w:szCs w:val="18"/>
          <w:lang w:val="it-CH"/>
        </w:rPr>
        <w:t>Queste disposizioni corrispondono a quelle contenute nel contratto tipo per sceneggiatori e sceneggiatrici. I diritti sono ceduti al produttore illimitatamente nel tempo (punto 3.3); la limitazione a 15 anni (punto 3.1) si riferisce solamente all’</w:t>
      </w:r>
      <w:r>
        <w:rPr>
          <w:rFonts w:ascii="Verdana" w:hAnsi="Verdana"/>
          <w:i/>
          <w:iCs/>
          <w:sz w:val="18"/>
          <w:szCs w:val="18"/>
          <w:lang w:val="it-CH"/>
        </w:rPr>
        <w:t>esclusiva</w:t>
      </w:r>
      <w:r>
        <w:rPr>
          <w:rFonts w:ascii="Verdana" w:hAnsi="Verdana"/>
          <w:sz w:val="18"/>
          <w:szCs w:val="18"/>
          <w:lang w:val="it-CH"/>
        </w:rPr>
        <w:t xml:space="preserve"> della cessione dei diritti.</w:t>
      </w:r>
    </w:p>
    <w:p w14:paraId="086562A7" w14:textId="77777777" w:rsidR="009D5A61" w:rsidRDefault="009D5A61">
      <w:pPr>
        <w:spacing w:line="260" w:lineRule="atLeast"/>
        <w:rPr>
          <w:rFonts w:ascii="Verdana" w:hAnsi="Verdana"/>
          <w:lang w:val="it-CH"/>
        </w:rPr>
      </w:pPr>
      <w:r>
        <w:rPr>
          <w:rFonts w:ascii="Verdana" w:hAnsi="Verdana"/>
          <w:sz w:val="18"/>
          <w:szCs w:val="18"/>
          <w:lang w:val="it-CH"/>
        </w:rPr>
        <w:t>Al punto 3.5 si sancisce la menzione del co-autore nei titoli di testa e/o di coda.</w:t>
      </w:r>
    </w:p>
    <w:p w14:paraId="3486472F" w14:textId="77777777" w:rsidR="009D5A61" w:rsidRDefault="009D5A61">
      <w:pPr>
        <w:spacing w:line="260" w:lineRule="atLeast"/>
        <w:rPr>
          <w:rFonts w:ascii="Verdana" w:hAnsi="Verdana"/>
          <w:sz w:val="18"/>
          <w:szCs w:val="18"/>
          <w:lang w:val="it-CH"/>
        </w:rPr>
      </w:pPr>
    </w:p>
    <w:p w14:paraId="1E65977D" w14:textId="77777777" w:rsidR="009D5A61" w:rsidRPr="004B3B8E" w:rsidRDefault="009D5A61">
      <w:pPr>
        <w:spacing w:line="260" w:lineRule="atLeast"/>
        <w:rPr>
          <w:rFonts w:ascii="Verdana" w:hAnsi="Verdana"/>
          <w:b/>
          <w:bCs/>
          <w:sz w:val="18"/>
          <w:szCs w:val="18"/>
          <w:lang w:val="it-CH"/>
        </w:rPr>
      </w:pPr>
      <w:r w:rsidRPr="004B3B8E">
        <w:rPr>
          <w:rFonts w:ascii="Verdana" w:hAnsi="Verdana"/>
          <w:b/>
          <w:bCs/>
          <w:sz w:val="18"/>
          <w:szCs w:val="18"/>
          <w:lang w:val="it-CH"/>
        </w:rPr>
        <w:t>4.</w:t>
      </w:r>
      <w:r w:rsidRPr="004B3B8E">
        <w:rPr>
          <w:rFonts w:ascii="Verdana" w:hAnsi="Verdana"/>
          <w:b/>
          <w:bCs/>
          <w:sz w:val="18"/>
          <w:szCs w:val="18"/>
          <w:lang w:val="it-CH"/>
        </w:rPr>
        <w:tab/>
        <w:t>Retribuzione</w:t>
      </w:r>
    </w:p>
    <w:p w14:paraId="3A715FD7" w14:textId="77777777" w:rsidR="009D5A61" w:rsidRPr="004B3B8E" w:rsidRDefault="009D5A61" w:rsidP="004B3B8E">
      <w:pPr>
        <w:pStyle w:val="Textkrper-Zeileneinzug"/>
        <w:jc w:val="both"/>
        <w:rPr>
          <w:lang w:val="it-CH"/>
        </w:rPr>
      </w:pPr>
      <w:r w:rsidRPr="004B3B8E">
        <w:rPr>
          <w:lang w:val="it-CH"/>
        </w:rPr>
        <w:t>Da un lato, al punto 4.1 si sancisce la retribuzione del co-autore. Oltre a ciò, bisogna stabilire se la retribuzione dell’attuale autore/autrice resta invariata o meno:</w:t>
      </w:r>
    </w:p>
    <w:p w14:paraId="2A76953F" w14:textId="77777777" w:rsidR="009D5A61" w:rsidRPr="004B3B8E" w:rsidRDefault="009D5A61" w:rsidP="004B3B8E">
      <w:pPr>
        <w:numPr>
          <w:ilvl w:val="0"/>
          <w:numId w:val="2"/>
        </w:numPr>
        <w:tabs>
          <w:tab w:val="clear" w:pos="780"/>
          <w:tab w:val="num" w:pos="284"/>
        </w:tabs>
        <w:spacing w:line="260" w:lineRule="atLeast"/>
        <w:ind w:left="284" w:hanging="284"/>
        <w:rPr>
          <w:rFonts w:ascii="Verdana" w:hAnsi="Verdana"/>
          <w:sz w:val="18"/>
          <w:szCs w:val="18"/>
          <w:lang w:val="it-CH"/>
        </w:rPr>
      </w:pPr>
      <w:r w:rsidRPr="004B3B8E">
        <w:rPr>
          <w:rFonts w:ascii="Verdana" w:hAnsi="Verdana"/>
          <w:sz w:val="18"/>
          <w:szCs w:val="18"/>
          <w:lang w:val="it-CH"/>
        </w:rPr>
        <w:t xml:space="preserve">In linea di massima tale retribuzione rimarrà invariata. </w:t>
      </w:r>
    </w:p>
    <w:p w14:paraId="22485912" w14:textId="77777777" w:rsidR="009D5A61" w:rsidRPr="004B3B8E" w:rsidRDefault="009D5A61" w:rsidP="004B3B8E">
      <w:pPr>
        <w:numPr>
          <w:ilvl w:val="0"/>
          <w:numId w:val="2"/>
        </w:numPr>
        <w:tabs>
          <w:tab w:val="clear" w:pos="780"/>
          <w:tab w:val="num" w:pos="284"/>
        </w:tabs>
        <w:spacing w:line="260" w:lineRule="atLeast"/>
        <w:ind w:left="284" w:hanging="284"/>
        <w:rPr>
          <w:rFonts w:ascii="Verdana" w:hAnsi="Verdana"/>
          <w:sz w:val="18"/>
          <w:szCs w:val="18"/>
          <w:lang w:val="it-CH"/>
        </w:rPr>
      </w:pPr>
      <w:r w:rsidRPr="004B3B8E">
        <w:rPr>
          <w:rFonts w:ascii="Verdana" w:hAnsi="Verdana"/>
          <w:sz w:val="18"/>
          <w:szCs w:val="18"/>
          <w:lang w:val="it-CH"/>
        </w:rPr>
        <w:t xml:space="preserve">Se l’attuale unico autore/autrice si è accorto di aver raggiunto i propri limiti e ha suggerito personalmente il coinvolgimento di un co-autore, il suo emolumento dovrà forse essere ridotto. </w:t>
      </w:r>
    </w:p>
    <w:p w14:paraId="4C8DD072" w14:textId="77777777" w:rsidR="009D5A61" w:rsidRPr="004B3B8E" w:rsidRDefault="009D5A61" w:rsidP="004B3B8E">
      <w:pPr>
        <w:numPr>
          <w:ilvl w:val="0"/>
          <w:numId w:val="2"/>
        </w:numPr>
        <w:tabs>
          <w:tab w:val="clear" w:pos="780"/>
          <w:tab w:val="num" w:pos="284"/>
        </w:tabs>
        <w:spacing w:line="260" w:lineRule="atLeast"/>
        <w:ind w:left="284" w:hanging="284"/>
        <w:rPr>
          <w:rFonts w:ascii="Verdana" w:hAnsi="Verdana"/>
          <w:sz w:val="18"/>
          <w:szCs w:val="18"/>
          <w:lang w:val="it-CH"/>
        </w:rPr>
      </w:pPr>
      <w:r w:rsidRPr="004B3B8E">
        <w:rPr>
          <w:rFonts w:ascii="Verdana" w:hAnsi="Verdana"/>
          <w:sz w:val="18"/>
          <w:szCs w:val="18"/>
          <w:lang w:val="it-CH"/>
        </w:rPr>
        <w:t>Se l’attuale autore/autrice unico ha consegnato una versione finale corretta, che deve essere ancora rielaborata di comune accordo, l’autore/autrice ha diritto a percepire un compenso supplementare (come magari è già previsto al punto 2.5 del proprio contratto di sceneggiatura).</w:t>
      </w:r>
    </w:p>
    <w:p w14:paraId="77827522" w14:textId="77777777" w:rsidR="009D5A61" w:rsidRDefault="009D5A61">
      <w:pPr>
        <w:spacing w:line="260" w:lineRule="atLeast"/>
        <w:rPr>
          <w:rFonts w:ascii="Verdana" w:hAnsi="Verdana"/>
          <w:sz w:val="18"/>
          <w:szCs w:val="18"/>
          <w:lang w:val="it-CH"/>
        </w:rPr>
      </w:pPr>
    </w:p>
    <w:p w14:paraId="62D4A3BE" w14:textId="77777777" w:rsidR="009D5A61" w:rsidRDefault="009D5A61">
      <w:pPr>
        <w:spacing w:line="260" w:lineRule="atLeast"/>
        <w:rPr>
          <w:rFonts w:ascii="Verdana" w:hAnsi="Verdana"/>
          <w:lang w:val="it-CH"/>
        </w:rPr>
      </w:pPr>
      <w:r>
        <w:rPr>
          <w:rFonts w:ascii="Verdana" w:hAnsi="Verdana"/>
          <w:sz w:val="18"/>
          <w:szCs w:val="18"/>
          <w:lang w:val="it-CH"/>
        </w:rPr>
        <w:t>Al punto 4.3 va sancito come sono da ripartire tra i due autori/autrici i compensi per i diritti d’autore delle società di gestione. La ripartizione percentuale dei compensi fra gli autori/autrici al momento della stipula contrattuale non potrebbe essere semplicissima, ma in linea di massima non diventa più semplice una volta che la sceneggiatura congiunta sarà stata scritta. Per il resto, una ripartizione prestabilita può essere modificata per iscritto in un secondo tempo di comune accordo fra gli autori.</w:t>
      </w:r>
    </w:p>
    <w:p w14:paraId="129A9CBF" w14:textId="77777777" w:rsidR="009D5A61" w:rsidRDefault="009D5A61">
      <w:pPr>
        <w:spacing w:line="260" w:lineRule="atLeast"/>
        <w:rPr>
          <w:rFonts w:ascii="Verdana" w:hAnsi="Verdana"/>
          <w:sz w:val="18"/>
          <w:szCs w:val="18"/>
          <w:lang w:val="it-CH"/>
        </w:rPr>
      </w:pPr>
    </w:p>
    <w:p w14:paraId="507C145E" w14:textId="77777777" w:rsidR="009D5A61" w:rsidRDefault="009D5A61">
      <w:pPr>
        <w:spacing w:line="260" w:lineRule="atLeast"/>
        <w:rPr>
          <w:rFonts w:ascii="Verdana" w:hAnsi="Verdana"/>
          <w:lang w:val="it-CH"/>
        </w:rPr>
      </w:pPr>
      <w:r>
        <w:rPr>
          <w:rFonts w:ascii="Verdana" w:hAnsi="Verdana"/>
          <w:sz w:val="18"/>
          <w:szCs w:val="18"/>
          <w:lang w:val="it-CH"/>
        </w:rPr>
        <w:t>Anche al punto 4.4 va stabilito se i diritti d’autore restano invariati o cambiano per quanto concerne la partecipazione ai ricavi.</w:t>
      </w:r>
    </w:p>
    <w:p w14:paraId="432630D7" w14:textId="77777777" w:rsidR="009D5A61" w:rsidRDefault="009D5A61">
      <w:pPr>
        <w:spacing w:line="260" w:lineRule="atLeast"/>
        <w:rPr>
          <w:rFonts w:ascii="Verdana" w:hAnsi="Verdana"/>
          <w:sz w:val="18"/>
          <w:szCs w:val="18"/>
          <w:lang w:val="it-CH"/>
        </w:rPr>
      </w:pPr>
    </w:p>
    <w:p w14:paraId="2B2C8804" w14:textId="77777777" w:rsidR="009D5A61" w:rsidRDefault="009D5A61">
      <w:pPr>
        <w:spacing w:line="260" w:lineRule="atLeast"/>
        <w:rPr>
          <w:rFonts w:ascii="Verdana" w:hAnsi="Verdana"/>
          <w:lang w:val="it-CH"/>
        </w:rPr>
      </w:pPr>
      <w:r>
        <w:rPr>
          <w:rFonts w:ascii="Verdana" w:hAnsi="Verdana"/>
          <w:sz w:val="18"/>
          <w:szCs w:val="18"/>
          <w:lang w:val="it-CH"/>
        </w:rPr>
        <w:t>Al punto 4.6 va stabilito come eventuali riconoscimenti finanziari e premi assegnati alla sceneggiatura debbano essere ripartiti fra gli autori.</w:t>
      </w:r>
    </w:p>
    <w:p w14:paraId="666AC81C" w14:textId="77777777" w:rsidR="009D5A61" w:rsidRDefault="009D5A61">
      <w:pPr>
        <w:spacing w:line="260" w:lineRule="atLeast"/>
        <w:rPr>
          <w:rFonts w:ascii="Verdana" w:hAnsi="Verdana"/>
          <w:sz w:val="18"/>
          <w:szCs w:val="18"/>
          <w:lang w:val="it-CH"/>
        </w:rPr>
      </w:pPr>
    </w:p>
    <w:p w14:paraId="298BBF07" w14:textId="77777777" w:rsidR="009D5A61" w:rsidRDefault="009D5A61">
      <w:pPr>
        <w:spacing w:line="260" w:lineRule="atLeast"/>
        <w:jc w:val="both"/>
        <w:rPr>
          <w:rFonts w:ascii="Verdana" w:hAnsi="Verdana"/>
          <w:b/>
          <w:bCs/>
          <w:sz w:val="18"/>
          <w:szCs w:val="18"/>
          <w:lang w:val="it-CH"/>
        </w:rPr>
      </w:pPr>
      <w:r>
        <w:rPr>
          <w:rFonts w:ascii="Verdana" w:hAnsi="Verdana"/>
          <w:b/>
          <w:bCs/>
          <w:sz w:val="18"/>
          <w:szCs w:val="18"/>
          <w:lang w:val="it-CH"/>
        </w:rPr>
        <w:t>5.</w:t>
      </w:r>
      <w:r>
        <w:rPr>
          <w:rFonts w:ascii="Verdana" w:hAnsi="Verdana"/>
          <w:b/>
          <w:bCs/>
          <w:sz w:val="18"/>
          <w:szCs w:val="18"/>
          <w:lang w:val="it-CH"/>
        </w:rPr>
        <w:tab/>
        <w:t>Ulteriori disposizioni</w:t>
      </w:r>
    </w:p>
    <w:p w14:paraId="712C35C0" w14:textId="77777777" w:rsidR="009D5A61" w:rsidRDefault="009D5A61">
      <w:pPr>
        <w:pStyle w:val="Textkrper-Einzug2"/>
        <w:ind w:left="0" w:firstLine="0"/>
        <w:jc w:val="left"/>
        <w:rPr>
          <w:lang w:val="it-CH"/>
        </w:rPr>
      </w:pPr>
      <w:r>
        <w:rPr>
          <w:lang w:val="it-CH"/>
        </w:rPr>
        <w:t>Si tratta qui delle altre disposizioni contrattuali comunemente in uso. Per ogni controversia, per la quale non sia prevista una disciplina contrattuale, sono applicabili le disposizioni del codice delle obbligazioni sul contratto di appalto. Per foro competente s’intende il luogo dove ha sede il tribunale davanti al quale le parti dovranno comparire per far valere i propri diritti o difendersi in caso di controversie.</w:t>
      </w:r>
    </w:p>
    <w:p w14:paraId="4816E828" w14:textId="77777777" w:rsidR="009D5A61" w:rsidRDefault="009D5A61">
      <w:pPr>
        <w:spacing w:line="260" w:lineRule="atLeast"/>
        <w:jc w:val="both"/>
        <w:rPr>
          <w:rFonts w:ascii="Verdana" w:hAnsi="Verdana"/>
          <w:sz w:val="18"/>
          <w:szCs w:val="18"/>
          <w:lang w:val="it-CH"/>
        </w:rPr>
      </w:pPr>
    </w:p>
    <w:p w14:paraId="31D52577" w14:textId="77777777" w:rsidR="009D5A61" w:rsidRDefault="009D5A61">
      <w:pPr>
        <w:spacing w:line="260" w:lineRule="atLeast"/>
        <w:jc w:val="both"/>
        <w:rPr>
          <w:rFonts w:ascii="Verdana" w:hAnsi="Verdana"/>
          <w:sz w:val="18"/>
          <w:szCs w:val="18"/>
          <w:lang w:val="it-CH"/>
        </w:rPr>
      </w:pPr>
    </w:p>
    <w:p w14:paraId="590B2563" w14:textId="77777777" w:rsidR="009D5A61" w:rsidRDefault="009D5A61">
      <w:pPr>
        <w:spacing w:line="260" w:lineRule="atLeast"/>
        <w:jc w:val="both"/>
        <w:rPr>
          <w:rFonts w:ascii="Verdana" w:hAnsi="Verdana"/>
          <w:sz w:val="18"/>
          <w:szCs w:val="18"/>
          <w:lang w:val="it-CH"/>
        </w:rPr>
      </w:pPr>
    </w:p>
    <w:p w14:paraId="1BA63B08" w14:textId="77777777" w:rsidR="009D5A61" w:rsidRDefault="009D5A61">
      <w:pPr>
        <w:spacing w:line="260" w:lineRule="atLeast"/>
        <w:jc w:val="both"/>
        <w:rPr>
          <w:rFonts w:ascii="Verdana" w:hAnsi="Verdana"/>
          <w:sz w:val="18"/>
          <w:szCs w:val="18"/>
          <w:lang w:val="it-CH"/>
        </w:rPr>
      </w:pPr>
    </w:p>
    <w:p w14:paraId="5333633E" w14:textId="77777777" w:rsidR="009D5A61" w:rsidRDefault="009D5A61">
      <w:pPr>
        <w:spacing w:line="260" w:lineRule="atLeast"/>
        <w:jc w:val="both"/>
        <w:rPr>
          <w:rFonts w:ascii="Verdana" w:hAnsi="Verdana"/>
          <w:sz w:val="18"/>
          <w:szCs w:val="18"/>
        </w:rPr>
      </w:pPr>
      <w:r>
        <w:rPr>
          <w:rFonts w:ascii="Verdana" w:hAnsi="Verdana"/>
          <w:sz w:val="18"/>
          <w:szCs w:val="18"/>
          <w:lang w:val="it-CH"/>
        </w:rPr>
        <w:t>Dicembre 2001</w:t>
      </w:r>
    </w:p>
    <w:p w14:paraId="75732A58" w14:textId="77777777" w:rsidR="009D5A61" w:rsidRDefault="009D5A61">
      <w:pPr>
        <w:spacing w:line="260" w:lineRule="atLeast"/>
        <w:jc w:val="both"/>
        <w:rPr>
          <w:rFonts w:ascii="Verdana" w:hAnsi="Verdana"/>
          <w:sz w:val="18"/>
          <w:szCs w:val="18"/>
        </w:rPr>
      </w:pPr>
    </w:p>
    <w:p w14:paraId="5E2C7697" w14:textId="77777777" w:rsidR="009D5A61" w:rsidRDefault="009D5A61">
      <w:pPr>
        <w:spacing w:line="260" w:lineRule="atLeast"/>
        <w:jc w:val="both"/>
        <w:rPr>
          <w:rFonts w:ascii="Verdana" w:hAnsi="Verdana"/>
          <w:sz w:val="18"/>
          <w:szCs w:val="18"/>
        </w:rPr>
      </w:pPr>
    </w:p>
    <w:p w14:paraId="6ACE6C2C" w14:textId="77777777" w:rsidR="009D5A61" w:rsidRDefault="009D5A61">
      <w:pPr>
        <w:spacing w:line="260" w:lineRule="atLeast"/>
        <w:jc w:val="both"/>
      </w:pPr>
      <w:r>
        <w:rPr>
          <w:rFonts w:ascii="Verdana" w:hAnsi="Verdana"/>
          <w:sz w:val="16"/>
          <w:szCs w:val="16"/>
        </w:rPr>
        <w:fldChar w:fldCharType="begin"/>
      </w:r>
      <w:r>
        <w:rPr>
          <w:rFonts w:ascii="Verdana" w:hAnsi="Verdana"/>
          <w:sz w:val="16"/>
          <w:szCs w:val="16"/>
        </w:rPr>
        <w:instrText xml:space="preserve"> FILENAME \p </w:instrText>
      </w:r>
      <w:r>
        <w:rPr>
          <w:rFonts w:ascii="Verdana" w:hAnsi="Verdana"/>
          <w:sz w:val="16"/>
          <w:szCs w:val="16"/>
        </w:rPr>
        <w:fldChar w:fldCharType="separate"/>
      </w:r>
      <w:r w:rsidR="004B3B8E">
        <w:rPr>
          <w:rFonts w:ascii="Verdana" w:hAnsi="Verdana"/>
          <w:noProof/>
          <w:sz w:val="16"/>
          <w:szCs w:val="16"/>
        </w:rPr>
        <w:t>\\Daten-server\Rechtsdienst\Mustervertraege\mitSI\OffizielleVertraege\ko-kom-i.doc</w:t>
      </w:r>
      <w:r>
        <w:rPr>
          <w:rFonts w:ascii="Verdana" w:hAnsi="Verdana"/>
          <w:sz w:val="16"/>
          <w:szCs w:val="16"/>
        </w:rPr>
        <w:fldChar w:fldCharType="end"/>
      </w:r>
    </w:p>
    <w:p w14:paraId="0C18D4B7" w14:textId="77777777" w:rsidR="009D5A61" w:rsidRDefault="009D5A61">
      <w:pPr>
        <w:jc w:val="both"/>
        <w:rPr>
          <w:rFonts w:ascii="Verdana" w:hAnsi="Verdana"/>
          <w:sz w:val="16"/>
          <w:szCs w:val="16"/>
        </w:rPr>
      </w:pPr>
    </w:p>
    <w:sectPr w:rsidR="009D5A61">
      <w:headerReference w:type="default" r:id="rId7"/>
      <w:footnotePr>
        <w:numRestart w:val="eachSect"/>
      </w:footnotePr>
      <w:pgSz w:w="11907" w:h="16840" w:code="9"/>
      <w:pgMar w:top="1418" w:right="1134" w:bottom="1134" w:left="1418" w:header="454" w:footer="720" w:gutter="0"/>
      <w:paperSrc w:first="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8316" w14:textId="77777777" w:rsidR="009E669E" w:rsidRDefault="009E669E">
      <w:r>
        <w:separator/>
      </w:r>
    </w:p>
  </w:endnote>
  <w:endnote w:type="continuationSeparator" w:id="0">
    <w:p w14:paraId="7AB78676" w14:textId="77777777" w:rsidR="009E669E" w:rsidRDefault="009E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12AA5" w14:textId="77777777" w:rsidR="009E669E" w:rsidRDefault="009E669E">
      <w:r>
        <w:separator/>
      </w:r>
    </w:p>
  </w:footnote>
  <w:footnote w:type="continuationSeparator" w:id="0">
    <w:p w14:paraId="13DBC06D" w14:textId="77777777" w:rsidR="009E669E" w:rsidRDefault="009E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15F2" w14:textId="77777777" w:rsidR="009D5A61" w:rsidRPr="00465E7B" w:rsidRDefault="00465E7B">
    <w:pPr>
      <w:spacing w:line="240" w:lineRule="exact"/>
      <w:jc w:val="center"/>
      <w:rPr>
        <w:rFonts w:ascii="Verdana" w:hAnsi="Verdana"/>
        <w:sz w:val="16"/>
        <w:szCs w:val="16"/>
        <w:lang w:val="en-US"/>
      </w:rPr>
    </w:pPr>
    <w:r>
      <w:rPr>
        <w:rFonts w:ascii="Verdana" w:hAnsi="Verdana"/>
        <w:noProof/>
        <w:sz w:val="16"/>
        <w:szCs w:val="16"/>
        <w:lang w:val="en-US"/>
      </w:rPr>
      <w:t>Note di c</w:t>
    </w:r>
    <w:r w:rsidRPr="00465E7B">
      <w:rPr>
        <w:rFonts w:ascii="Verdana" w:hAnsi="Verdana"/>
        <w:noProof/>
        <w:sz w:val="16"/>
        <w:szCs w:val="16"/>
        <w:lang w:val="en-US"/>
      </w:rPr>
      <w:t>ommento</w:t>
    </w:r>
    <w:r w:rsidR="009D5A61" w:rsidRPr="00465E7B">
      <w:rPr>
        <w:rFonts w:ascii="Verdana" w:hAnsi="Verdana"/>
        <w:noProof/>
        <w:sz w:val="16"/>
        <w:szCs w:val="16"/>
        <w:lang w:val="en-US"/>
      </w:rPr>
      <w:t xml:space="preserve"> </w:t>
    </w:r>
    <w:r>
      <w:rPr>
        <w:rFonts w:ascii="Verdana" w:hAnsi="Verdana"/>
        <w:bCs/>
        <w:sz w:val="16"/>
        <w:szCs w:val="16"/>
        <w:lang w:val="it-CH"/>
      </w:rPr>
      <w:t>c</w:t>
    </w:r>
    <w:r w:rsidRPr="00465E7B">
      <w:rPr>
        <w:rFonts w:ascii="Verdana" w:hAnsi="Verdana"/>
        <w:bCs/>
        <w:sz w:val="16"/>
        <w:szCs w:val="16"/>
        <w:lang w:val="it-CH"/>
      </w:rPr>
      <w:t>ontratto tipo “Co-autore”</w:t>
    </w:r>
    <w:r>
      <w:rPr>
        <w:rFonts w:ascii="Verdana" w:hAnsi="Verdana"/>
        <w:noProof/>
        <w:sz w:val="16"/>
        <w:szCs w:val="16"/>
        <w:lang w:val="en-US"/>
      </w:rPr>
      <w:t xml:space="preserve">     Pagina</w:t>
    </w:r>
    <w:r w:rsidR="009D5A61" w:rsidRPr="00465E7B">
      <w:rPr>
        <w:rFonts w:ascii="Verdana" w:hAnsi="Verdana"/>
        <w:sz w:val="16"/>
        <w:szCs w:val="16"/>
        <w:lang w:val="en-US"/>
      </w:rPr>
      <w:t xml:space="preserve"> </w:t>
    </w:r>
    <w:r w:rsidR="009D5A61">
      <w:rPr>
        <w:rFonts w:ascii="Verdana" w:hAnsi="Verdana"/>
        <w:sz w:val="16"/>
        <w:szCs w:val="16"/>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8A87F8A"/>
    <w:lvl w:ilvl="0">
      <w:numFmt w:val="decimal"/>
      <w:lvlText w:val="*"/>
      <w:lvlJc w:val="left"/>
    </w:lvl>
  </w:abstractNum>
  <w:abstractNum w:abstractNumId="1" w15:restartNumberingAfterBreak="0">
    <w:nsid w:val="70913C09"/>
    <w:multiLevelType w:val="hybridMultilevel"/>
    <w:tmpl w:val="BD6699F4"/>
    <w:lvl w:ilvl="0" w:tplc="04070001">
      <w:start w:val="1"/>
      <w:numFmt w:val="bullet"/>
      <w:lvlText w:val=""/>
      <w:lvlJc w:val="left"/>
      <w:pPr>
        <w:tabs>
          <w:tab w:val="num" w:pos="780"/>
        </w:tabs>
        <w:ind w:left="780" w:hanging="360"/>
      </w:pPr>
      <w:rPr>
        <w:rFonts w:ascii="Symbol" w:hAnsi="Symbol" w:cs="Times New Roman" w:hint="default"/>
      </w:rPr>
    </w:lvl>
    <w:lvl w:ilvl="1" w:tplc="04070003">
      <w:start w:val="1"/>
      <w:numFmt w:val="bullet"/>
      <w:lvlText w:val="o"/>
      <w:lvlJc w:val="left"/>
      <w:pPr>
        <w:tabs>
          <w:tab w:val="num" w:pos="1500"/>
        </w:tabs>
        <w:ind w:left="1500" w:hanging="360"/>
      </w:pPr>
      <w:rPr>
        <w:rFonts w:ascii="Courier New" w:hAnsi="Courier New" w:cs="Courier New" w:hint="default"/>
      </w:rPr>
    </w:lvl>
    <w:lvl w:ilvl="2" w:tplc="04070005">
      <w:start w:val="1"/>
      <w:numFmt w:val="bullet"/>
      <w:lvlText w:val=""/>
      <w:lvlJc w:val="left"/>
      <w:pPr>
        <w:tabs>
          <w:tab w:val="num" w:pos="2220"/>
        </w:tabs>
        <w:ind w:left="2220" w:hanging="360"/>
      </w:pPr>
      <w:rPr>
        <w:rFonts w:ascii="Wingdings" w:hAnsi="Wingdings" w:cs="Times New Roman" w:hint="default"/>
      </w:rPr>
    </w:lvl>
    <w:lvl w:ilvl="3" w:tplc="04070001">
      <w:start w:val="1"/>
      <w:numFmt w:val="bullet"/>
      <w:lvlText w:val=""/>
      <w:lvlJc w:val="left"/>
      <w:pPr>
        <w:tabs>
          <w:tab w:val="num" w:pos="2940"/>
        </w:tabs>
        <w:ind w:left="2940" w:hanging="360"/>
      </w:pPr>
      <w:rPr>
        <w:rFonts w:ascii="Symbol" w:hAnsi="Symbol" w:cs="Times New Roman" w:hint="default"/>
      </w:rPr>
    </w:lvl>
    <w:lvl w:ilvl="4" w:tplc="04070003">
      <w:start w:val="1"/>
      <w:numFmt w:val="bullet"/>
      <w:lvlText w:val="o"/>
      <w:lvlJc w:val="left"/>
      <w:pPr>
        <w:tabs>
          <w:tab w:val="num" w:pos="3660"/>
        </w:tabs>
        <w:ind w:left="3660" w:hanging="360"/>
      </w:pPr>
      <w:rPr>
        <w:rFonts w:ascii="Courier New" w:hAnsi="Courier New" w:cs="Courier New" w:hint="default"/>
      </w:rPr>
    </w:lvl>
    <w:lvl w:ilvl="5" w:tplc="04070005">
      <w:start w:val="1"/>
      <w:numFmt w:val="bullet"/>
      <w:lvlText w:val=""/>
      <w:lvlJc w:val="left"/>
      <w:pPr>
        <w:tabs>
          <w:tab w:val="num" w:pos="4380"/>
        </w:tabs>
        <w:ind w:left="4380" w:hanging="360"/>
      </w:pPr>
      <w:rPr>
        <w:rFonts w:ascii="Wingdings" w:hAnsi="Wingdings" w:cs="Times New Roman" w:hint="default"/>
      </w:rPr>
    </w:lvl>
    <w:lvl w:ilvl="6" w:tplc="04070001">
      <w:start w:val="1"/>
      <w:numFmt w:val="bullet"/>
      <w:lvlText w:val=""/>
      <w:lvlJc w:val="left"/>
      <w:pPr>
        <w:tabs>
          <w:tab w:val="num" w:pos="5100"/>
        </w:tabs>
        <w:ind w:left="5100" w:hanging="360"/>
      </w:pPr>
      <w:rPr>
        <w:rFonts w:ascii="Symbol" w:hAnsi="Symbol" w:cs="Times New Roman" w:hint="default"/>
      </w:rPr>
    </w:lvl>
    <w:lvl w:ilvl="7" w:tplc="04070003">
      <w:start w:val="1"/>
      <w:numFmt w:val="bullet"/>
      <w:lvlText w:val="o"/>
      <w:lvlJc w:val="left"/>
      <w:pPr>
        <w:tabs>
          <w:tab w:val="num" w:pos="5820"/>
        </w:tabs>
        <w:ind w:left="5820" w:hanging="360"/>
      </w:pPr>
      <w:rPr>
        <w:rFonts w:ascii="Courier New" w:hAnsi="Courier New" w:cs="Courier New" w:hint="default"/>
      </w:rPr>
    </w:lvl>
    <w:lvl w:ilvl="8" w:tplc="04070005">
      <w:start w:val="1"/>
      <w:numFmt w:val="bullet"/>
      <w:lvlText w:val=""/>
      <w:lvlJc w:val="left"/>
      <w:pPr>
        <w:tabs>
          <w:tab w:val="num" w:pos="6540"/>
        </w:tabs>
        <w:ind w:left="6540" w:hanging="360"/>
      </w:pPr>
      <w:rPr>
        <w:rFonts w:ascii="Wingdings" w:hAnsi="Wingdings" w:cs="Times New Roman" w:hint="default"/>
      </w:rPr>
    </w:lvl>
  </w:abstractNum>
  <w:num w:numId="1" w16cid:durableId="517542222">
    <w:abstractNumId w:val="0"/>
    <w:lvlOverride w:ilvl="0">
      <w:lvl w:ilvl="0">
        <w:start w:val="1"/>
        <w:numFmt w:val="bullet"/>
        <w:lvlText w:val=""/>
        <w:lvlJc w:val="left"/>
        <w:pPr>
          <w:ind w:left="284" w:hanging="284"/>
        </w:pPr>
        <w:rPr>
          <w:rFonts w:ascii="Symbol" w:hAnsi="Symbol" w:cs="Times New Roman" w:hint="default"/>
        </w:rPr>
      </w:lvl>
    </w:lvlOverride>
  </w:num>
  <w:num w:numId="2" w16cid:durableId="829367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8E"/>
    <w:rsid w:val="002018C3"/>
    <w:rsid w:val="00465E7B"/>
    <w:rsid w:val="004B3B8E"/>
    <w:rsid w:val="0083384D"/>
    <w:rsid w:val="009D5A61"/>
    <w:rsid w:val="009E669E"/>
    <w:rsid w:val="00BA34C9"/>
    <w:rsid w:val="00BB04E3"/>
    <w:rsid w:val="00F33A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1C708"/>
  <w15:chartTrackingRefBased/>
  <w15:docId w15:val="{1D2003B2-6789-4CFF-AFAF-DB0DC170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snapToGrid w:val="0"/>
      <w:lang w:val="de-DE" w:eastAsia="de-DE"/>
    </w:rPr>
  </w:style>
  <w:style w:type="paragraph" w:styleId="berschrift1">
    <w:name w:val="heading 1"/>
    <w:basedOn w:val="Standard"/>
    <w:next w:val="Standard"/>
    <w:qFormat/>
    <w:pPr>
      <w:keepNext/>
      <w:tabs>
        <w:tab w:val="left" w:pos="2835"/>
        <w:tab w:val="left" w:pos="6946"/>
      </w:tabs>
      <w:outlineLvl w:val="0"/>
    </w:pPr>
    <w:rPr>
      <w:b/>
      <w:bCs/>
      <w:sz w:val="48"/>
      <w:szCs w:val="48"/>
    </w:rPr>
  </w:style>
  <w:style w:type="paragraph" w:styleId="berschrift2">
    <w:name w:val="heading 2"/>
    <w:basedOn w:val="Standard"/>
    <w:next w:val="Standard"/>
    <w:qFormat/>
    <w:pPr>
      <w:keepNext/>
      <w:spacing w:line="260" w:lineRule="atLeast"/>
      <w:outlineLvl w:val="1"/>
    </w:pPr>
    <w:rPr>
      <w:rFonts w:ascii="Verdana" w:hAnsi="Verdana"/>
      <w:b/>
      <w:bCs/>
      <w:sz w:val="22"/>
      <w:szCs w:val="22"/>
    </w:rPr>
  </w:style>
  <w:style w:type="paragraph" w:styleId="berschrift3">
    <w:name w:val="heading 3"/>
    <w:basedOn w:val="Standard"/>
    <w:next w:val="Standard"/>
    <w:qFormat/>
    <w:pPr>
      <w:keepNext/>
      <w:spacing w:line="260" w:lineRule="atLeast"/>
      <w:outlineLvl w:val="2"/>
    </w:pPr>
    <w:rPr>
      <w:rFonts w:ascii="Verdana" w:hAnsi="Verdana"/>
      <w:i/>
      <w:iCs/>
    </w:rPr>
  </w:style>
  <w:style w:type="paragraph" w:styleId="berschrift4">
    <w:name w:val="heading 4"/>
    <w:basedOn w:val="Standard"/>
    <w:next w:val="Standard"/>
    <w:qFormat/>
    <w:pPr>
      <w:keepNext/>
      <w:spacing w:line="260" w:lineRule="atLeast"/>
      <w:outlineLvl w:val="3"/>
    </w:pPr>
    <w:rPr>
      <w:rFonts w:ascii="Verdana" w:hAnsi="Verdana"/>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spacing w:line="260" w:lineRule="atLeast"/>
    </w:pPr>
    <w:rPr>
      <w:rFonts w:ascii="Verdana" w:hAnsi="Verdana"/>
      <w:sz w:val="18"/>
      <w:szCs w:val="18"/>
    </w:rPr>
  </w:style>
  <w:style w:type="paragraph" w:styleId="Textkrper">
    <w:name w:val="Body Text"/>
    <w:basedOn w:val="Standard"/>
    <w:semiHidden/>
    <w:pPr>
      <w:spacing w:line="260" w:lineRule="atLeast"/>
      <w:jc w:val="both"/>
    </w:pPr>
    <w:rPr>
      <w:rFonts w:ascii="Verdana" w:hAnsi="Verdana"/>
      <w:i/>
      <w:iCs/>
      <w:sz w:val="18"/>
      <w:szCs w:val="18"/>
    </w:rPr>
  </w:style>
  <w:style w:type="paragraph" w:styleId="Textkrper-Einzug2">
    <w:name w:val="Body Text Indent 2"/>
    <w:basedOn w:val="Standard"/>
    <w:semiHidden/>
    <w:pPr>
      <w:spacing w:line="260" w:lineRule="atLeast"/>
      <w:ind w:left="284" w:hanging="284"/>
      <w:jc w:val="both"/>
    </w:pPr>
    <w:rPr>
      <w:rFonts w:ascii="Verdana" w:hAnsi="Verdana"/>
      <w:sz w:val="18"/>
      <w:szCs w:val="18"/>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Kommentar zum Mustervertrag Regie</vt:lpstr>
    </vt:vector>
  </TitlesOfParts>
  <Company>SUISSIMAGE</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Kommentar zum Mustervertrag Regie</dc:title>
  <dc:subject/>
  <dc:creator>SFP, FDS, SI</dc:creator>
  <cp:keywords/>
  <dc:description/>
  <cp:lastModifiedBy>Annette Lehmann (ale)</cp:lastModifiedBy>
  <cp:revision>2</cp:revision>
  <cp:lastPrinted>2002-03-21T09:16:00Z</cp:lastPrinted>
  <dcterms:created xsi:type="dcterms:W3CDTF">2023-05-17T11:57:00Z</dcterms:created>
  <dcterms:modified xsi:type="dcterms:W3CDTF">2023-05-17T11:57:00Z</dcterms:modified>
</cp:coreProperties>
</file>